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7C55E" w14:textId="1A698B25" w:rsidR="00860677" w:rsidRPr="000E3CE2" w:rsidRDefault="00860677" w:rsidP="00860677">
      <w:pPr>
        <w:jc w:val="center"/>
        <w:rPr>
          <w:rFonts w:ascii="Trebuchet MS" w:eastAsia="Calibri" w:hAnsi="Trebuchet MS" w:cs="Times New Roman"/>
          <w:b/>
          <w:bCs/>
          <w:color w:val="1F3864" w:themeColor="accent1" w:themeShade="80"/>
        </w:rPr>
      </w:pPr>
      <w:r w:rsidRPr="000E3CE2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1 la </w:t>
      </w:r>
      <w:r w:rsidRPr="000E3CE2">
        <w:rPr>
          <w:rFonts w:ascii="Trebuchet MS" w:eastAsia="Calibri" w:hAnsi="Trebuchet MS" w:cs="Times New Roman"/>
          <w:b/>
          <w:bCs/>
          <w:color w:val="1F3864" w:themeColor="accent1" w:themeShade="80"/>
        </w:rPr>
        <w:t>Ghidul Solicitantului Condiții Specifice</w:t>
      </w:r>
    </w:p>
    <w:p w14:paraId="337B6172" w14:textId="4A757FBE" w:rsidR="00860677" w:rsidRPr="000E3CE2" w:rsidRDefault="00860677" w:rsidP="00860677">
      <w:pPr>
        <w:jc w:val="center"/>
        <w:rPr>
          <w:rFonts w:ascii="Trebuchet MS" w:eastAsia="Calibri" w:hAnsi="Trebuchet MS" w:cs="Times New Roman"/>
          <w:b/>
          <w:bCs/>
          <w:color w:val="1F3864" w:themeColor="accent1" w:themeShade="80"/>
        </w:rPr>
      </w:pPr>
      <w:r w:rsidRPr="000E3CE2">
        <w:rPr>
          <w:rFonts w:ascii="Trebuchet MS" w:eastAsia="Calibri" w:hAnsi="Trebuchet MS" w:cs="Times New Roman"/>
          <w:b/>
          <w:bCs/>
          <w:i/>
          <w:color w:val="1F3864" w:themeColor="accent1" w:themeShade="80"/>
          <w:lang w:val="fr-FR"/>
        </w:rPr>
        <w:t>“</w:t>
      </w:r>
      <w:r w:rsidR="006F4767" w:rsidRPr="000E3CE2">
        <w:rPr>
          <w:rFonts w:ascii="Trebuchet MS" w:eastAsia="Calibri" w:hAnsi="Trebuchet MS" w:cs="Times New Roman"/>
          <w:b/>
          <w:bCs/>
          <w:color w:val="1F3864" w:themeColor="accent1" w:themeShade="80"/>
        </w:rPr>
        <w:t>Sprijin pentru înființarea de întreprinderi sociale în mediul urban</w:t>
      </w:r>
      <w:r w:rsidRPr="000E3CE2">
        <w:rPr>
          <w:rFonts w:ascii="Trebuchet MS" w:eastAsia="Calibri" w:hAnsi="Trebuchet MS" w:cs="Times New Roman"/>
          <w:b/>
          <w:bCs/>
          <w:i/>
          <w:color w:val="1F3864" w:themeColor="accent1" w:themeShade="80"/>
        </w:rPr>
        <w:t>”</w:t>
      </w:r>
    </w:p>
    <w:p w14:paraId="1F561208" w14:textId="77777777" w:rsidR="00860677" w:rsidRPr="000E3CE2" w:rsidRDefault="00860677" w:rsidP="00860677">
      <w:pPr>
        <w:spacing w:after="0" w:line="240" w:lineRule="auto"/>
        <w:rPr>
          <w:rFonts w:ascii="Trebuchet MS" w:hAnsi="Trebuchet MS"/>
          <w:color w:val="1F3864" w:themeColor="accent1" w:themeShade="80"/>
        </w:rPr>
      </w:pPr>
    </w:p>
    <w:p w14:paraId="3F2FAF09" w14:textId="418EEC96" w:rsidR="00EC1714" w:rsidRPr="000E3CE2" w:rsidRDefault="00470194">
      <w:pPr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0E3CE2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Criteriile de evaluare tehnică </w:t>
      </w:r>
      <w:r w:rsidR="008D4E57" w:rsidRPr="000E3CE2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0E3CE2">
        <w:rPr>
          <w:rFonts w:ascii="Trebuchet MS" w:hAnsi="Trebuchet MS"/>
          <w:b/>
          <w:bCs/>
          <w:color w:val="1F3864" w:themeColor="accent1" w:themeShade="80"/>
          <w:w w:val="105"/>
        </w:rPr>
        <w:t>i financiară preliminară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1135"/>
        <w:gridCol w:w="3424"/>
        <w:gridCol w:w="8345"/>
        <w:gridCol w:w="2406"/>
      </w:tblGrid>
      <w:tr w:rsidR="00A729A8" w:rsidRPr="000E3CE2" w14:paraId="3C5033BA" w14:textId="77777777" w:rsidTr="006F4767">
        <w:tc>
          <w:tcPr>
            <w:tcW w:w="1135" w:type="dxa"/>
          </w:tcPr>
          <w:p w14:paraId="30C46F00" w14:textId="260A67A7" w:rsidR="00470194" w:rsidRPr="000E3CE2" w:rsidRDefault="006F4767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Nr. crt.</w:t>
            </w:r>
          </w:p>
        </w:tc>
        <w:tc>
          <w:tcPr>
            <w:tcW w:w="3424" w:type="dxa"/>
          </w:tcPr>
          <w:p w14:paraId="7AE326EB" w14:textId="77777777" w:rsidR="00470194" w:rsidRPr="000E3CE2" w:rsidRDefault="00470194" w:rsidP="006B66D0">
            <w:pPr>
              <w:tabs>
                <w:tab w:val="left" w:pos="-540"/>
              </w:tabs>
              <w:spacing w:after="160" w:line="259" w:lineRule="auto"/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8345" w:type="dxa"/>
          </w:tcPr>
          <w:p w14:paraId="7758EFFE" w14:textId="77777777" w:rsidR="00470194" w:rsidRPr="000E3CE2" w:rsidRDefault="00470194" w:rsidP="006B66D0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2406" w:type="dxa"/>
          </w:tcPr>
          <w:p w14:paraId="29FBCF66" w14:textId="77777777" w:rsidR="00470194" w:rsidRPr="000E3CE2" w:rsidRDefault="00470194" w:rsidP="006B66D0">
            <w:pPr>
              <w:tabs>
                <w:tab w:val="left" w:pos="-540"/>
              </w:tabs>
              <w:spacing w:after="160" w:line="259" w:lineRule="auto"/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A729A8" w:rsidRPr="000E3CE2" w14:paraId="6417F7E8" w14:textId="77777777" w:rsidTr="006F4767">
        <w:tc>
          <w:tcPr>
            <w:tcW w:w="1135" w:type="dxa"/>
          </w:tcPr>
          <w:p w14:paraId="6BDD3ED5" w14:textId="77777777" w:rsidR="00470194" w:rsidRPr="000E3CE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3424" w:type="dxa"/>
          </w:tcPr>
          <w:p w14:paraId="21C07089" w14:textId="77777777" w:rsidR="00470194" w:rsidRPr="000E3CE2" w:rsidRDefault="00470194" w:rsidP="007D260E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săi (dacă este cazul) îndeplinesc condițiile de acces la finanțare stabilite în Ghidul Solicitantului - Condiții Specifice.</w:t>
            </w:r>
          </w:p>
          <w:p w14:paraId="6EA9F4AF" w14:textId="77777777" w:rsidR="00470194" w:rsidRPr="000E3CE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91CD144" w14:textId="77777777" w:rsidR="00470194" w:rsidRPr="000E3CE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3194E290" w14:textId="77777777" w:rsidR="00470194" w:rsidRPr="000E3CE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37C48561" w14:textId="77777777" w:rsidR="00470194" w:rsidRPr="000E3CE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45" w:type="dxa"/>
          </w:tcPr>
          <w:p w14:paraId="093DB6A1" w14:textId="231706D1" w:rsidR="00470194" w:rsidRPr="000E3CE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este însoțită de toate anexele</w:t>
            </w:r>
            <w:r w:rsidRPr="000E3CE2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solicitate </w:t>
            </w:r>
            <w:r w:rsidR="006B66D0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n Ghidul Solicitantului – Condiții Specifice și Condiții Generale, dacă este cazul</w:t>
            </w:r>
            <w:r w:rsidR="006B66D0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  <w:p w14:paraId="1F93F08B" w14:textId="77777777" w:rsidR="00470194" w:rsidRPr="000E3CE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86DA169" w14:textId="60C69A8B" w:rsidR="006D7FB8" w:rsidRPr="000E3CE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fac  parte  din categoriile de beneficiari</w:t>
            </w:r>
            <w:r w:rsidR="006036AA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eligibili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971D8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menționate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Ghidul Solicitantului -Condiții  Specifice și </w:t>
            </w:r>
            <w:r w:rsidR="00B36D83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au în obiectul de activitate</w:t>
            </w:r>
            <w:r w:rsidR="006B66D0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</w:t>
            </w:r>
            <w:r w:rsidR="00B36D83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activitatea/activitățile </w:t>
            </w:r>
            <w:r w:rsidR="006036AA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pe care le desfășoară în</w:t>
            </w:r>
            <w:r w:rsidR="00B36D83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cadrul proiectului</w:t>
            </w:r>
            <w:r w:rsidR="006D7FB8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:</w:t>
            </w:r>
          </w:p>
          <w:p w14:paraId="56CB0BA3" w14:textId="77777777" w:rsidR="00F9655C" w:rsidRPr="000E3CE2" w:rsidRDefault="00F9655C" w:rsidP="00F9655C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</w:pPr>
            <w:proofErr w:type="spellStart"/>
            <w:proofErr w:type="gram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entități</w:t>
            </w:r>
            <w:proofErr w:type="spellEnd"/>
            <w:proofErr w:type="gram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ale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economiei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sociale,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rețele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uniuni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federații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din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sectorul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economiei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sociale;</w:t>
            </w:r>
          </w:p>
          <w:p w14:paraId="468A3E56" w14:textId="26725A08" w:rsidR="00F9655C" w:rsidRPr="000E3CE2" w:rsidRDefault="00F9655C" w:rsidP="00F9655C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</w:pPr>
            <w:proofErr w:type="spellStart"/>
            <w:proofErr w:type="gram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entități</w:t>
            </w:r>
            <w:proofErr w:type="spellEnd"/>
            <w:proofErr w:type="gram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relevante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respectiv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: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furnizori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de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formare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profesională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autorizaţi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publici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şi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privaţi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furnizori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de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servicii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de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ocupare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acreditați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publici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și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privați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furnizori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de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servicii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sociale,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organizaţii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sindicale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şi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organizații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patronale,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asociaţii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profesionale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camere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de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comerț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și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industrie, ONG-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uri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;</w:t>
            </w:r>
          </w:p>
          <w:p w14:paraId="1934DEC6" w14:textId="1D45E379" w:rsidR="006D7FB8" w:rsidRPr="000E3CE2" w:rsidRDefault="00F9655C" w:rsidP="00F9655C">
            <w:pPr>
              <w:pStyle w:val="ListParagraph"/>
              <w:numPr>
                <w:ilvl w:val="0"/>
                <w:numId w:val="4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proofErr w:type="spellStart"/>
            <w:proofErr w:type="gram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autoritati</w:t>
            </w:r>
            <w:proofErr w:type="spellEnd"/>
            <w:proofErr w:type="gram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publice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centrale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sau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locale,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exclusiv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în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calitate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 xml:space="preserve"> de </w:t>
            </w:r>
            <w:proofErr w:type="spellStart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parteneri</w:t>
            </w:r>
            <w:proofErr w:type="spellEnd"/>
            <w:r w:rsidRPr="000E3CE2">
              <w:rPr>
                <w:rFonts w:ascii="Trebuchet MS" w:hAnsi="Trebuchet MS"/>
                <w:iCs/>
                <w:color w:val="1F3864" w:themeColor="accent1" w:themeShade="80"/>
                <w:lang w:val="fr-FR"/>
              </w:rPr>
              <w:t>.</w:t>
            </w:r>
          </w:p>
          <w:p w14:paraId="2A90288F" w14:textId="77777777" w:rsidR="00F9655C" w:rsidRPr="000E3CE2" w:rsidRDefault="00F9655C" w:rsidP="00F9655C">
            <w:pPr>
              <w:pStyle w:val="ListParagraph"/>
              <w:tabs>
                <w:tab w:val="left" w:pos="-540"/>
              </w:tabs>
              <w:ind w:left="780"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2D1E3666" w14:textId="6E534514" w:rsidR="00B36D83" w:rsidRPr="000E3CE2" w:rsidRDefault="006971D8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Selecția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partenerului/partenerilor</w:t>
            </w:r>
            <w:r w:rsidR="00B36D83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din sectorul privat 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s-a realizat cu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respectarea 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legislației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europene 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 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naționale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, </w:t>
            </w:r>
            <w:r w:rsidR="00B36D83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cazul solicitanților entități finanțate din fonduri publice.</w:t>
            </w:r>
          </w:p>
          <w:p w14:paraId="4D04F992" w14:textId="0D7B9880" w:rsidR="00470194" w:rsidRPr="000E3CE2" w:rsidRDefault="00B36D83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ste prezentată </w:t>
            </w:r>
            <w:r w:rsidR="006036AA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analiza valorii adăugate a parteneriatului în ceea ce privește utilizarea eficientă a fondurilor, rolul și responsabilitățile, contribuția și expertiza/experiența relevantă pentru implementarea proiectului pentru fiecare partener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52E73E57" w14:textId="77777777" w:rsidR="00470194" w:rsidRPr="000E3CE2" w:rsidRDefault="00470194" w:rsidP="007D260E">
            <w:pPr>
              <w:tabs>
                <w:tab w:val="left" w:pos="-540"/>
              </w:tabs>
              <w:ind w:right="12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CA7166E" w14:textId="0CC7E0D3" w:rsidR="00470194" w:rsidRPr="000E3CE2" w:rsidRDefault="00470194" w:rsidP="006971D8">
            <w:pPr>
              <w:tabs>
                <w:tab w:val="left" w:pos="-540"/>
              </w:tabs>
              <w:ind w:right="12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Beneficiarul (Solicitant unic, sau Parteneriatul (</w:t>
            </w:r>
            <w:r w:rsidR="006971D8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 cazul proiectelor implementate </w:t>
            </w:r>
            <w:r w:rsidR="006971D8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n parteneriat)</w:t>
            </w:r>
            <w:r w:rsidR="00F9655C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)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 demonstrează capacitate financiară, conform algoritmului.</w:t>
            </w:r>
          </w:p>
          <w:p w14:paraId="11146A22" w14:textId="77777777" w:rsidR="00470194" w:rsidRPr="000E3CE2" w:rsidRDefault="00470194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57384A9B" w14:textId="59962B82" w:rsidR="00470194" w:rsidRPr="000E3CE2" w:rsidRDefault="006971D8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Activitățile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de subcontractare se realizează  numai  de  către solicitantul de  </w:t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finanțare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,  nu </w:t>
            </w:r>
            <w:r w:rsidR="006B66D0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 de  partenerul</w:t>
            </w:r>
            <w:r w:rsidR="006D19C1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/partenerii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acestuia.</w:t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="00470194"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06" w:type="dxa"/>
          </w:tcPr>
          <w:p w14:paraId="2592F540" w14:textId="77777777" w:rsidR="00470194" w:rsidRPr="000E3CE2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11D76308" w14:textId="77777777" w:rsidR="00470194" w:rsidRPr="000E3CE2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0EFEE806" w14:textId="77777777" w:rsidR="00470194" w:rsidRPr="000E3CE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B72665" w:rsidRPr="000E3CE2" w14:paraId="04EA72EE" w14:textId="77777777" w:rsidTr="006F4767">
        <w:trPr>
          <w:trHeight w:val="1475"/>
        </w:trPr>
        <w:tc>
          <w:tcPr>
            <w:tcW w:w="1135" w:type="dxa"/>
          </w:tcPr>
          <w:p w14:paraId="068E754C" w14:textId="77777777" w:rsidR="00B72665" w:rsidRPr="000E3CE2" w:rsidRDefault="00B72665" w:rsidP="00B7266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2</w:t>
            </w:r>
          </w:p>
        </w:tc>
        <w:tc>
          <w:tcPr>
            <w:tcW w:w="3424" w:type="dxa"/>
          </w:tcPr>
          <w:p w14:paraId="22369B4F" w14:textId="77777777" w:rsidR="00B72665" w:rsidRPr="000E3CE2" w:rsidRDefault="00B72665" w:rsidP="00B7266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23F0F01B" w14:textId="710FFF3A" w:rsidR="00B72665" w:rsidRPr="000E3CE2" w:rsidRDefault="00B72665" w:rsidP="00B72665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programul operațional, conform specificului de finanțare și conform</w:t>
            </w:r>
          </w:p>
          <w:p w14:paraId="1802DCC0" w14:textId="7F365D00" w:rsidR="00B72665" w:rsidRPr="000E3CE2" w:rsidRDefault="00B72665" w:rsidP="00B72665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Ghidului Solicitantului - Condiții Specifice.</w:t>
            </w:r>
          </w:p>
        </w:tc>
        <w:tc>
          <w:tcPr>
            <w:tcW w:w="8345" w:type="dxa"/>
          </w:tcPr>
          <w:p w14:paraId="41CF9303" w14:textId="77777777" w:rsidR="00B72665" w:rsidRDefault="00B72665" w:rsidP="00B72665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  <w:r w:rsidRPr="000175E4"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>Proiectul</w:t>
            </w:r>
            <w:r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 xml:space="preserve"> </w:t>
            </w:r>
            <w:r w:rsidRPr="000175E4"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>este</w:t>
            </w:r>
            <w:r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 xml:space="preserve"> </w:t>
            </w:r>
            <w:r w:rsidRPr="000175E4"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 xml:space="preserve">încadrat în prioritatea, obiectivul specific, indicatorii de realizare imediată </w:t>
            </w:r>
            <w:r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>ș</w:t>
            </w:r>
            <w:r w:rsidRPr="000175E4"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>i de rezultat,</w:t>
            </w:r>
            <w:r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 xml:space="preserve"> rezultate,</w:t>
            </w:r>
            <w:r w:rsidRPr="000175E4"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 xml:space="preserve"> </w:t>
            </w:r>
            <w:r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 xml:space="preserve">grup țintă, durată, </w:t>
            </w:r>
            <w:r w:rsidRPr="000175E4"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>conform P</w:t>
            </w:r>
            <w:r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>EO</w:t>
            </w:r>
            <w:r w:rsidRPr="000175E4"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 xml:space="preserve"> </w:t>
            </w:r>
            <w:r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>ș</w:t>
            </w:r>
            <w:r w:rsidRPr="000175E4"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 xml:space="preserve">i </w:t>
            </w:r>
            <w:r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 xml:space="preserve">conform </w:t>
            </w:r>
            <w:r w:rsidRPr="000175E4">
              <w:rPr>
                <w:rFonts w:ascii="Trebuchet MS" w:eastAsia="Calibri" w:hAnsi="Trebuchet MS" w:cs="Times New Roman"/>
                <w:color w:val="233F60"/>
                <w:w w:val="105"/>
                <w:lang w:val="ro-RO"/>
              </w:rPr>
              <w:t>Ghidului Solicitantului - Condiții Specifice</w:t>
            </w:r>
            <w:r w:rsidRPr="00D340DA">
              <w:rPr>
                <w:rFonts w:ascii="Trebuchet MS" w:hAnsi="Trebuchet MS"/>
                <w:color w:val="233F60"/>
                <w:w w:val="105"/>
                <w:lang w:val="ro-RO"/>
              </w:rPr>
              <w:t>.</w:t>
            </w:r>
          </w:p>
          <w:p w14:paraId="5347B594" w14:textId="77777777" w:rsidR="00B72665" w:rsidRDefault="00B72665" w:rsidP="00B72665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</w:p>
          <w:p w14:paraId="010DC04B" w14:textId="77777777" w:rsidR="00B72665" w:rsidRDefault="00B72665" w:rsidP="00B72665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  <w:r>
              <w:rPr>
                <w:rFonts w:ascii="Trebuchet MS" w:hAnsi="Trebuchet MS"/>
                <w:color w:val="233F60"/>
                <w:w w:val="105"/>
                <w:lang w:val="ro-RO"/>
              </w:rPr>
              <w:t>Aspecte verificate:</w:t>
            </w:r>
          </w:p>
          <w:p w14:paraId="0796A257" w14:textId="77777777" w:rsidR="00B72665" w:rsidRDefault="00B72665" w:rsidP="00B72665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</w:p>
          <w:p w14:paraId="38DE93B6" w14:textId="77777777" w:rsidR="00B72665" w:rsidRDefault="00B72665" w:rsidP="00B72665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  <w:r w:rsidRPr="00653B63">
              <w:rPr>
                <w:rFonts w:ascii="Trebuchet MS" w:hAnsi="Trebuchet MS"/>
                <w:color w:val="233F60"/>
                <w:w w:val="105"/>
                <w:lang w:val="ro-RO"/>
              </w:rPr>
              <w:t xml:space="preserve">Proiectul este încadrat în axa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  <w:lang w:val="ro-RO"/>
              </w:rPr>
              <w:t>prioritarã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  <w:lang w:val="ro-RO"/>
              </w:rPr>
              <w:t>, prioritatea de investiții, obiectivele specifice.</w:t>
            </w:r>
          </w:p>
          <w:p w14:paraId="4DD5839F" w14:textId="77777777" w:rsidR="00B72665" w:rsidRPr="00653B63" w:rsidRDefault="00B72665" w:rsidP="00B72665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  <w:r w:rsidRPr="00653B63">
              <w:rPr>
                <w:rFonts w:ascii="Trebuchet MS" w:hAnsi="Trebuchet MS"/>
                <w:color w:val="233F60"/>
                <w:w w:val="105"/>
                <w:lang w:val="ro-RO"/>
              </w:rPr>
              <w:t>Proiectul prevede țintele minime ale indicatorilor specifici de realizare și de rezultat prevăzute în Ghidul solicitantului – condiții specifice.</w:t>
            </w:r>
          </w:p>
          <w:p w14:paraId="13274C79" w14:textId="77777777" w:rsidR="00B72665" w:rsidRDefault="00B72665" w:rsidP="00B72665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  <w:r w:rsidRPr="00653B63">
              <w:rPr>
                <w:rFonts w:ascii="Trebuchet MS" w:hAnsi="Trebuchet MS"/>
                <w:color w:val="233F60"/>
                <w:w w:val="105"/>
                <w:lang w:val="ro-RO"/>
              </w:rPr>
              <w:t>Grupul țintă al proiectului se încadrează în categoriile eligibile</w:t>
            </w:r>
            <w:r>
              <w:rPr>
                <w:rFonts w:ascii="Trebuchet MS" w:hAnsi="Trebuchet MS"/>
                <w:color w:val="233F60"/>
                <w:w w:val="105"/>
                <w:lang w:val="ro-RO"/>
              </w:rPr>
              <w:t xml:space="preserve"> si respecta valorile minime</w:t>
            </w:r>
            <w:r w:rsidRPr="00653B63">
              <w:rPr>
                <w:rFonts w:ascii="Trebuchet MS" w:hAnsi="Trebuchet MS"/>
                <w:color w:val="233F60"/>
                <w:w w:val="105"/>
                <w:lang w:val="ro-RO"/>
              </w:rPr>
              <w:t xml:space="preserve"> menționate în Ghidul Solicitantului- Condiții Specifice</w:t>
            </w:r>
          </w:p>
          <w:p w14:paraId="40DB7F9A" w14:textId="65AD6C09" w:rsidR="00B72665" w:rsidRPr="000E3CE2" w:rsidRDefault="00B72665" w:rsidP="00B72665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653B63">
              <w:rPr>
                <w:rFonts w:ascii="Trebuchet MS" w:hAnsi="Trebuchet MS"/>
                <w:color w:val="233F60"/>
                <w:w w:val="105"/>
                <w:lang w:val="ro-RO"/>
              </w:rPr>
              <w:t xml:space="preserve">Durata de implementare a proiectului se încadrează în durata maximă prevăzută în Ghidul solicitantului -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  <w:lang w:val="ro-RO"/>
              </w:rPr>
              <w:t>Condiţii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  <w:lang w:val="ro-RO"/>
              </w:rPr>
              <w:t xml:space="preserve"> specifice.</w:t>
            </w:r>
          </w:p>
        </w:tc>
        <w:tc>
          <w:tcPr>
            <w:tcW w:w="2406" w:type="dxa"/>
          </w:tcPr>
          <w:p w14:paraId="3FBB0638" w14:textId="77777777" w:rsidR="00B72665" w:rsidRPr="000E3CE2" w:rsidRDefault="00B72665" w:rsidP="00B7266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B72665" w:rsidRPr="000E3CE2" w14:paraId="2EC31FA9" w14:textId="77777777" w:rsidTr="006F4767">
        <w:tc>
          <w:tcPr>
            <w:tcW w:w="1135" w:type="dxa"/>
          </w:tcPr>
          <w:p w14:paraId="3147CD1C" w14:textId="77777777" w:rsidR="00B72665" w:rsidRPr="000E3CE2" w:rsidRDefault="00B72665" w:rsidP="00B7266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3424" w:type="dxa"/>
          </w:tcPr>
          <w:p w14:paraId="2A946AF0" w14:textId="1BC265C0" w:rsidR="00B72665" w:rsidRPr="000E3CE2" w:rsidRDefault="00B72665" w:rsidP="00B72665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 proiectului   respectă</w:t>
            </w:r>
            <w:r w:rsidRPr="000E3CE2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Pr="000E3CE2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privind eligibilitatea cheltuielilor și regulile de stabilire a acestora, conform prevederilor Ghidului Solicitantului - Condiții Specifice</w:t>
            </w:r>
          </w:p>
        </w:tc>
        <w:tc>
          <w:tcPr>
            <w:tcW w:w="8345" w:type="dxa"/>
          </w:tcPr>
          <w:p w14:paraId="30D514A8" w14:textId="77777777" w:rsidR="00BB68B4" w:rsidRDefault="00BB68B4" w:rsidP="00BB68B4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  <w:r w:rsidRPr="00D340DA">
              <w:rPr>
                <w:rFonts w:ascii="Trebuchet MS" w:hAnsi="Trebuchet MS"/>
                <w:color w:val="233F60"/>
                <w:w w:val="105"/>
                <w:lang w:val="ro-RO"/>
              </w:rPr>
              <w:t>Valoarea  asistenței  financiare nerambursabile solicitate se înscri</w:t>
            </w:r>
            <w:r>
              <w:rPr>
                <w:rFonts w:ascii="Trebuchet MS" w:hAnsi="Trebuchet MS"/>
                <w:color w:val="233F60"/>
                <w:w w:val="105"/>
                <w:lang w:val="ro-RO"/>
              </w:rPr>
              <w:t>e</w:t>
            </w:r>
            <w:r w:rsidRPr="00D340DA">
              <w:rPr>
                <w:rFonts w:ascii="Trebuchet MS" w:hAnsi="Trebuchet MS"/>
                <w:color w:val="233F60"/>
                <w:w w:val="105"/>
                <w:lang w:val="ro-RO"/>
              </w:rPr>
              <w:t xml:space="preserve"> în limitele stabilite în Ghidul Solicitantului - Condiții Specifice.</w:t>
            </w:r>
          </w:p>
          <w:p w14:paraId="7986409A" w14:textId="77777777" w:rsidR="00BB68B4" w:rsidRDefault="00BB68B4" w:rsidP="00BB68B4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</w:p>
          <w:p w14:paraId="2E695067" w14:textId="77777777" w:rsidR="00BB68B4" w:rsidRPr="00653B63" w:rsidRDefault="00BB68B4" w:rsidP="00BB68B4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233F60"/>
                <w:w w:val="105"/>
              </w:rPr>
            </w:pP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Valoarea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ajutorului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de minimis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reprezintă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minimum 70% din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valoarea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totală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eligibilă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a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proiectului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>.</w:t>
            </w:r>
          </w:p>
          <w:p w14:paraId="193E4E05" w14:textId="77777777" w:rsidR="00BB68B4" w:rsidRDefault="00BB68B4" w:rsidP="00BB68B4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233F60"/>
                <w:w w:val="105"/>
              </w:rPr>
            </w:pPr>
          </w:p>
          <w:p w14:paraId="0643DE0D" w14:textId="77777777" w:rsidR="00BB68B4" w:rsidRDefault="00BB68B4" w:rsidP="00BB68B4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233F60"/>
                <w:w w:val="105"/>
              </w:rPr>
            </w:pP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În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cazul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proiectelor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implementate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in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parteneriat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, la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distributia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bugetului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proiectului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pe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fiecare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membru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al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parteneriatului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,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bugetul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gestionat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de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liderul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de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parteneriat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(total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cheltuieli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eligibile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asumate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de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liderul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de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parteneriat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), </w:t>
            </w:r>
            <w:proofErr w:type="spellStart"/>
            <w:r>
              <w:rPr>
                <w:rFonts w:ascii="Trebuchet MS" w:hAnsi="Trebuchet MS"/>
                <w:color w:val="233F60"/>
                <w:w w:val="105"/>
              </w:rPr>
              <w:t>este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mai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mare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decât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bugetul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gestionat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de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oricare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alt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membru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al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parteneriatului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(total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cheltuieli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eligibile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per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partener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), cu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excepția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parteneriatelor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între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instituțiile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 xml:space="preserve"> </w:t>
            </w:r>
            <w:proofErr w:type="spellStart"/>
            <w:r w:rsidRPr="00653B63">
              <w:rPr>
                <w:rFonts w:ascii="Trebuchet MS" w:hAnsi="Trebuchet MS"/>
                <w:color w:val="233F60"/>
                <w:w w:val="105"/>
              </w:rPr>
              <w:t>publice</w:t>
            </w:r>
            <w:proofErr w:type="spellEnd"/>
            <w:r w:rsidRPr="00653B63">
              <w:rPr>
                <w:rFonts w:ascii="Trebuchet MS" w:hAnsi="Trebuchet MS"/>
                <w:color w:val="233F60"/>
                <w:w w:val="105"/>
              </w:rPr>
              <w:t>.</w:t>
            </w:r>
          </w:p>
          <w:p w14:paraId="74AA5017" w14:textId="77777777" w:rsidR="00BB68B4" w:rsidRDefault="00BB68B4" w:rsidP="00BB68B4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233F60"/>
                <w:w w:val="105"/>
              </w:rPr>
            </w:pPr>
          </w:p>
          <w:p w14:paraId="44CF8B79" w14:textId="77777777" w:rsidR="00BB68B4" w:rsidRDefault="00BB68B4" w:rsidP="00BB68B4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  <w:r w:rsidRPr="0040104A">
              <w:rPr>
                <w:rFonts w:ascii="Trebuchet MS" w:hAnsi="Trebuchet MS"/>
                <w:color w:val="233F60"/>
                <w:w w:val="105"/>
                <w:lang w:val="ro-RO"/>
              </w:rPr>
              <w:t>Valoarea cheltuielilor de tip FEDR directe nu depășește procentul de 1</w:t>
            </w:r>
            <w:r>
              <w:rPr>
                <w:rFonts w:ascii="Trebuchet MS" w:hAnsi="Trebuchet MS"/>
                <w:color w:val="233F60"/>
                <w:w w:val="105"/>
                <w:lang w:val="ro-RO"/>
              </w:rPr>
              <w:t>5</w:t>
            </w:r>
            <w:r w:rsidRPr="0040104A">
              <w:rPr>
                <w:rFonts w:ascii="Trebuchet MS" w:hAnsi="Trebuchet MS"/>
                <w:color w:val="233F60"/>
                <w:w w:val="105"/>
                <w:lang w:val="ro-RO"/>
              </w:rPr>
              <w:t>% din valoarea cheltuielilor directe eligibile aferente proiectului</w:t>
            </w:r>
          </w:p>
          <w:p w14:paraId="69268A61" w14:textId="77777777" w:rsidR="00BB68B4" w:rsidRPr="00D340DA" w:rsidRDefault="00BB68B4" w:rsidP="00BB68B4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</w:p>
          <w:p w14:paraId="06979AE3" w14:textId="77777777" w:rsidR="00BB68B4" w:rsidRPr="00D340DA" w:rsidRDefault="00BB68B4" w:rsidP="00BB68B4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233F60"/>
                <w:w w:val="105"/>
                <w:lang w:val="ro-RO"/>
              </w:rPr>
            </w:pPr>
            <w:r w:rsidRPr="00B473F8">
              <w:rPr>
                <w:rFonts w:ascii="Trebuchet MS" w:hAnsi="Trebuchet MS"/>
                <w:color w:val="233F60"/>
                <w:w w:val="105"/>
                <w:lang w:val="ro-RO"/>
              </w:rPr>
              <w:t xml:space="preserve">Bugetul respectă rata de cofinanțare </w:t>
            </w:r>
            <w:r>
              <w:rPr>
                <w:rFonts w:ascii="Trebuchet MS" w:hAnsi="Trebuchet MS"/>
                <w:color w:val="233F60"/>
                <w:w w:val="105"/>
                <w:lang w:val="ro-RO"/>
              </w:rPr>
              <w:t>(</w:t>
            </w:r>
            <w:r w:rsidRPr="00B473F8">
              <w:rPr>
                <w:rFonts w:ascii="Trebuchet MS" w:hAnsi="Trebuchet MS"/>
                <w:color w:val="233F60"/>
                <w:w w:val="105"/>
                <w:lang w:val="ro-RO"/>
              </w:rPr>
              <w:t>contribuție proprie).</w:t>
            </w:r>
            <w:r>
              <w:rPr>
                <w:rFonts w:ascii="Trebuchet MS" w:hAnsi="Trebuchet MS"/>
                <w:color w:val="233F60"/>
                <w:w w:val="105"/>
                <w:lang w:val="ro-RO"/>
              </w:rPr>
              <w:t xml:space="preserve"> </w:t>
            </w:r>
            <w:r w:rsidRPr="0040104A">
              <w:rPr>
                <w:rFonts w:ascii="Trebuchet MS" w:hAnsi="Trebuchet MS"/>
                <w:color w:val="233F60"/>
                <w:w w:val="105"/>
                <w:lang w:val="ro-RO"/>
              </w:rPr>
              <w:t>Se va verifica respectarea contribuției proprii minime pentru solicitant, conform prevederilor</w:t>
            </w:r>
            <w:r>
              <w:rPr>
                <w:rFonts w:ascii="Trebuchet MS" w:hAnsi="Trebuchet MS"/>
                <w:color w:val="233F60"/>
                <w:w w:val="105"/>
                <w:lang w:val="ro-RO"/>
              </w:rPr>
              <w:t xml:space="preserve"> </w:t>
            </w:r>
            <w:r w:rsidRPr="00DB6B70">
              <w:rPr>
                <w:rFonts w:ascii="Trebuchet MS" w:hAnsi="Trebuchet MS"/>
                <w:color w:val="233F60"/>
                <w:w w:val="105"/>
                <w:lang w:val="ro-RO"/>
              </w:rPr>
              <w:t>Ghidul Solicitantului– Condiții Specifice</w:t>
            </w:r>
            <w:r>
              <w:rPr>
                <w:rFonts w:ascii="Trebuchet MS" w:hAnsi="Trebuchet MS"/>
                <w:color w:val="233F60"/>
                <w:w w:val="105"/>
                <w:lang w:val="ro-RO"/>
              </w:rPr>
              <w:t>.</w:t>
            </w:r>
          </w:p>
          <w:p w14:paraId="0C5456BD" w14:textId="77777777" w:rsidR="00B72665" w:rsidRPr="000E3CE2" w:rsidRDefault="00B72665" w:rsidP="00B7266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406" w:type="dxa"/>
          </w:tcPr>
          <w:p w14:paraId="1A90596B" w14:textId="77777777" w:rsidR="00B72665" w:rsidRPr="000E3CE2" w:rsidRDefault="00B72665" w:rsidP="00B7266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B72665" w:rsidRPr="000E3CE2" w14:paraId="7EB06782" w14:textId="77777777" w:rsidTr="006F4767">
        <w:tc>
          <w:tcPr>
            <w:tcW w:w="1135" w:type="dxa"/>
          </w:tcPr>
          <w:p w14:paraId="0EA25C4E" w14:textId="77777777" w:rsidR="00B72665" w:rsidRPr="000E3CE2" w:rsidRDefault="00B72665" w:rsidP="00B7266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3424" w:type="dxa"/>
          </w:tcPr>
          <w:p w14:paraId="13D4F112" w14:textId="74B7DE57" w:rsidR="00B72665" w:rsidRPr="000E3CE2" w:rsidRDefault="00B72665" w:rsidP="00684FB9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0E3CE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cuprinde cel puțin activitățile obligatorii</w:t>
            </w:r>
          </w:p>
        </w:tc>
        <w:tc>
          <w:tcPr>
            <w:tcW w:w="8345" w:type="dxa"/>
          </w:tcPr>
          <w:p w14:paraId="6B30F6D5" w14:textId="4A02D350" w:rsidR="00B72665" w:rsidRPr="006C7F9B" w:rsidRDefault="00947767" w:rsidP="00B7266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DB6B70">
              <w:rPr>
                <w:rFonts w:ascii="Trebuchet MS" w:hAnsi="Trebuchet MS"/>
                <w:color w:val="233F60"/>
                <w:w w:val="105"/>
                <w:lang w:val="ro-RO"/>
              </w:rPr>
              <w:t>Proiectul cuprinde activitățile obligatorii</w:t>
            </w:r>
            <w:r>
              <w:rPr>
                <w:rFonts w:ascii="Trebuchet MS" w:hAnsi="Trebuchet MS"/>
                <w:color w:val="233F60"/>
                <w:w w:val="105"/>
                <w:lang w:val="ro-RO"/>
              </w:rPr>
              <w:t>/relevante</w:t>
            </w:r>
            <w:r w:rsidRPr="00DB6B70">
              <w:rPr>
                <w:rFonts w:ascii="Trebuchet MS" w:hAnsi="Trebuchet MS"/>
                <w:color w:val="233F60"/>
                <w:w w:val="105"/>
                <w:lang w:val="ro-RO"/>
              </w:rPr>
              <w:t>, prevăzute în Ghidul Solicitantului– Condiții Specifice</w:t>
            </w:r>
            <w:r>
              <w:rPr>
                <w:rFonts w:ascii="Trebuchet MS" w:hAnsi="Trebuchet MS"/>
                <w:color w:val="233F60"/>
                <w:w w:val="105"/>
                <w:lang w:val="ro-RO"/>
              </w:rPr>
              <w:t>.</w:t>
            </w:r>
          </w:p>
        </w:tc>
        <w:tc>
          <w:tcPr>
            <w:tcW w:w="2406" w:type="dxa"/>
          </w:tcPr>
          <w:p w14:paraId="507A4B87" w14:textId="77777777" w:rsidR="00B72665" w:rsidRPr="000E3CE2" w:rsidRDefault="00B72665" w:rsidP="00B7266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</w:tbl>
    <w:p w14:paraId="12166CE2" w14:textId="77777777" w:rsidR="00470194" w:rsidRPr="000E3CE2" w:rsidRDefault="00470194" w:rsidP="00684FB9">
      <w:pPr>
        <w:rPr>
          <w:rFonts w:ascii="Trebuchet MS" w:hAnsi="Trebuchet MS"/>
          <w:color w:val="1F3864" w:themeColor="accent1" w:themeShade="80"/>
        </w:rPr>
      </w:pPr>
    </w:p>
    <w:sectPr w:rsidR="00470194" w:rsidRPr="000E3CE2" w:rsidSect="00E23426"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B9958" w14:textId="77777777" w:rsidR="00182249" w:rsidRDefault="00182249" w:rsidP="00470194">
      <w:pPr>
        <w:spacing w:after="0" w:line="240" w:lineRule="auto"/>
      </w:pPr>
      <w:r>
        <w:separator/>
      </w:r>
    </w:p>
  </w:endnote>
  <w:endnote w:type="continuationSeparator" w:id="0">
    <w:p w14:paraId="1AA93AB1" w14:textId="77777777" w:rsidR="00182249" w:rsidRDefault="00182249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E189F" w14:textId="77777777" w:rsidR="00182249" w:rsidRDefault="00182249" w:rsidP="00470194">
      <w:pPr>
        <w:spacing w:after="0" w:line="240" w:lineRule="auto"/>
      </w:pPr>
      <w:r>
        <w:separator/>
      </w:r>
    </w:p>
  </w:footnote>
  <w:footnote w:type="continuationSeparator" w:id="0">
    <w:p w14:paraId="59180889" w14:textId="77777777" w:rsidR="00182249" w:rsidRDefault="00182249" w:rsidP="00470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B6163"/>
    <w:multiLevelType w:val="hybridMultilevel"/>
    <w:tmpl w:val="7D98A192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843B0"/>
    <w:multiLevelType w:val="multilevel"/>
    <w:tmpl w:val="66FA1D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22958B6"/>
    <w:multiLevelType w:val="hybridMultilevel"/>
    <w:tmpl w:val="310ABD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123934">
    <w:abstractNumId w:val="0"/>
  </w:num>
  <w:num w:numId="2" w16cid:durableId="817763486">
    <w:abstractNumId w:val="1"/>
  </w:num>
  <w:num w:numId="3" w16cid:durableId="1428847075">
    <w:abstractNumId w:val="3"/>
  </w:num>
  <w:num w:numId="4" w16cid:durableId="1587032956">
    <w:abstractNumId w:val="2"/>
  </w:num>
  <w:num w:numId="5" w16cid:durableId="455493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E3CE2"/>
    <w:rsid w:val="0011127C"/>
    <w:rsid w:val="00182249"/>
    <w:rsid w:val="00182CB7"/>
    <w:rsid w:val="002459EC"/>
    <w:rsid w:val="00247A9E"/>
    <w:rsid w:val="00274C59"/>
    <w:rsid w:val="00293AB4"/>
    <w:rsid w:val="00321DBE"/>
    <w:rsid w:val="0045297D"/>
    <w:rsid w:val="00454428"/>
    <w:rsid w:val="00470194"/>
    <w:rsid w:val="004F04BA"/>
    <w:rsid w:val="004F3A2A"/>
    <w:rsid w:val="006036AA"/>
    <w:rsid w:val="00645CC5"/>
    <w:rsid w:val="00684FB9"/>
    <w:rsid w:val="006971D8"/>
    <w:rsid w:val="006B66D0"/>
    <w:rsid w:val="006C7F9B"/>
    <w:rsid w:val="006D19C1"/>
    <w:rsid w:val="006D7FB8"/>
    <w:rsid w:val="006F4767"/>
    <w:rsid w:val="00705CFF"/>
    <w:rsid w:val="007B206A"/>
    <w:rsid w:val="007D380F"/>
    <w:rsid w:val="00840140"/>
    <w:rsid w:val="00845171"/>
    <w:rsid w:val="00860677"/>
    <w:rsid w:val="00894BDC"/>
    <w:rsid w:val="008A4971"/>
    <w:rsid w:val="008D4E57"/>
    <w:rsid w:val="00947767"/>
    <w:rsid w:val="00A63166"/>
    <w:rsid w:val="00A729A8"/>
    <w:rsid w:val="00B36D83"/>
    <w:rsid w:val="00B72665"/>
    <w:rsid w:val="00BB68B4"/>
    <w:rsid w:val="00BC2240"/>
    <w:rsid w:val="00CA4E99"/>
    <w:rsid w:val="00D368E8"/>
    <w:rsid w:val="00D5136E"/>
    <w:rsid w:val="00E23426"/>
    <w:rsid w:val="00EC1714"/>
    <w:rsid w:val="00F9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9655C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55C"/>
    <w:rPr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84F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FB9"/>
  </w:style>
  <w:style w:type="paragraph" w:styleId="Footer">
    <w:name w:val="footer"/>
    <w:basedOn w:val="Normal"/>
    <w:link w:val="FooterChar"/>
    <w:uiPriority w:val="99"/>
    <w:unhideWhenUsed/>
    <w:rsid w:val="00684F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622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Catalina Badanace</cp:lastModifiedBy>
  <cp:revision>14</cp:revision>
  <dcterms:created xsi:type="dcterms:W3CDTF">2023-05-03T06:53:00Z</dcterms:created>
  <dcterms:modified xsi:type="dcterms:W3CDTF">2023-05-04T19:53:00Z</dcterms:modified>
</cp:coreProperties>
</file>